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Ultra" w:cs="Ultra" w:eastAsia="Ultra" w:hAnsi="Ultra"/>
          <w:sz w:val="18"/>
          <w:szCs w:val="18"/>
        </w:rPr>
      </w:pPr>
      <w:r w:rsidDel="00000000" w:rsidR="00000000" w:rsidRPr="00000000">
        <w:rPr>
          <w:rFonts w:ascii="Ultra" w:cs="Ultra" w:eastAsia="Ultra" w:hAnsi="Ultra"/>
          <w:sz w:val="18"/>
          <w:szCs w:val="18"/>
          <w:rtl w:val="0"/>
        </w:rPr>
        <w:t xml:space="preserve">Name:_______________________________          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1: Khan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Complete the three tasks assigned in Khan Academy.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Watch the video, and then answer practice questions.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Place a checkmark in the appropriate box.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9"/>
        <w:gridCol w:w="1869"/>
        <w:gridCol w:w="1869"/>
        <w:gridCol w:w="1869"/>
        <w:gridCol w:w="1869"/>
        <w:tblGridChange w:id="0">
          <w:tblGrid>
            <w:gridCol w:w="1869"/>
            <w:gridCol w:w="1869"/>
            <w:gridCol w:w="1869"/>
            <w:gridCol w:w="1869"/>
            <w:gridCol w:w="186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Assignment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Watched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the video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(ALL OF IT)  :)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Completed 3 questions correct in a 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Completed 5 questions correct in a 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Ultra" w:cs="Ultra" w:eastAsia="Ultra" w:hAnsi="Ultra"/>
                <w:sz w:val="18"/>
                <w:szCs w:val="18"/>
              </w:rPr>
            </w:pPr>
            <w:r w:rsidDel="00000000" w:rsidR="00000000" w:rsidRPr="00000000">
              <w:rPr>
                <w:rFonts w:ascii="Ultra" w:cs="Ultra" w:eastAsia="Ultra" w:hAnsi="Ultra"/>
                <w:sz w:val="18"/>
                <w:szCs w:val="18"/>
                <w:rtl w:val="0"/>
              </w:rPr>
              <w:t xml:space="preserve">Completed 10 questions correct in a row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Fonts w:ascii="Impact" w:cs="Impact" w:eastAsia="Impact" w:hAnsi="Impact"/>
                <w:color w:val="555555"/>
                <w:sz w:val="16"/>
                <w:szCs w:val="16"/>
                <w:shd w:fill="f7f7f7" w:val="clear"/>
                <w:rtl w:val="0"/>
              </w:rPr>
              <w:t xml:space="preserve">One-step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Fonts w:ascii="Impact" w:cs="Impact" w:eastAsia="Impact" w:hAnsi="Impact"/>
                <w:color w:val="555555"/>
                <w:sz w:val="16"/>
                <w:szCs w:val="16"/>
                <w:shd w:fill="f7f7f7" w:val="clear"/>
                <w:rtl w:val="0"/>
              </w:rPr>
              <w:t xml:space="preserve">Two-step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Fonts w:ascii="Impact" w:cs="Impact" w:eastAsia="Impact" w:hAnsi="Impact"/>
                <w:color w:val="555555"/>
                <w:sz w:val="16"/>
                <w:szCs w:val="16"/>
                <w:shd w:fill="f7f7f7" w:val="clear"/>
                <w:rtl w:val="0"/>
              </w:rPr>
              <w:t xml:space="preserve">Two-step inequality word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Ultra" w:cs="Ultra" w:eastAsia="Ultra" w:hAnsi="Ult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2:  Small Group Instruction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Complete individual work at the front of the classroom with your teacher.  Completed worksheet should be attached to this sheet.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3:  Video Station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(Complete the EDPuzzle Video in Google Classroom)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will be graded for completion of the video and accuracy.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My score was a:  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4:  Collaborative Practice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Work on the back whiteboard solving the problems on the back of this sheet.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may work together.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write the problems on the board or at your desk, whichever you prefer.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5: 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Attach your Study Guide as item 63.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Create your new title page for Unit 4 Inequalities.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Create your new Table of Contents.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Take notes from the Slides in Google Classroom as Item 65.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Table of Contents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64:  Brain Pop!  Inequalities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65:  Notes on Inequalities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Station 6:  Reflections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Complete Test Reflections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When you are done, you may work on any incomplete items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Impact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